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0F" w:rsidRDefault="002F60CF" w:rsidP="00E86C0F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3712D3">
        <w:rPr>
          <w:rFonts w:ascii="Times New Roman" w:hAnsi="Times New Roman"/>
          <w:kern w:val="36"/>
          <w:sz w:val="28"/>
          <w:szCs w:val="28"/>
        </w:rPr>
        <w:fldChar w:fldCharType="begin"/>
      </w:r>
      <w:r w:rsidR="00E86C0F" w:rsidRPr="003712D3">
        <w:rPr>
          <w:rFonts w:ascii="Times New Roman" w:hAnsi="Times New Roman"/>
          <w:kern w:val="36"/>
          <w:sz w:val="28"/>
          <w:szCs w:val="28"/>
        </w:rPr>
        <w:instrText xml:space="preserve"> HYPERLINK "http://sro-krasproekt.ru/planovaya-smeta-doxodov-i-rasxodov-npsrproekta-na-period-2013g/" \o "Плановая смета доходов и расходов НПСРпроекта на период 2013г." </w:instrText>
      </w:r>
      <w:r w:rsidRPr="003712D3">
        <w:rPr>
          <w:rFonts w:ascii="Times New Roman" w:hAnsi="Times New Roman"/>
          <w:kern w:val="36"/>
          <w:sz w:val="28"/>
          <w:szCs w:val="28"/>
        </w:rPr>
        <w:fldChar w:fldCharType="separate"/>
      </w:r>
      <w:r w:rsidR="00E86C0F" w:rsidRPr="003712D3">
        <w:rPr>
          <w:rFonts w:ascii="Times New Roman" w:hAnsi="Times New Roman"/>
          <w:kern w:val="36"/>
          <w:sz w:val="28"/>
          <w:szCs w:val="28"/>
        </w:rPr>
        <w:t>Плановая смета доходов и</w:t>
      </w:r>
      <w:r w:rsidR="00E86C0F">
        <w:rPr>
          <w:rFonts w:ascii="Times New Roman" w:hAnsi="Times New Roman"/>
          <w:kern w:val="36"/>
          <w:sz w:val="28"/>
          <w:szCs w:val="28"/>
        </w:rPr>
        <w:t xml:space="preserve"> расходов </w:t>
      </w:r>
      <w:proofErr w:type="spellStart"/>
      <w:r w:rsidR="00E86C0F">
        <w:rPr>
          <w:rFonts w:ascii="Times New Roman" w:hAnsi="Times New Roman"/>
          <w:kern w:val="36"/>
          <w:sz w:val="28"/>
          <w:szCs w:val="28"/>
        </w:rPr>
        <w:t>НПСРпроекта</w:t>
      </w:r>
      <w:proofErr w:type="spellEnd"/>
      <w:r w:rsidR="00E86C0F">
        <w:rPr>
          <w:rFonts w:ascii="Times New Roman" w:hAnsi="Times New Roman"/>
          <w:kern w:val="36"/>
          <w:sz w:val="28"/>
          <w:szCs w:val="28"/>
        </w:rPr>
        <w:t xml:space="preserve"> на 2011</w:t>
      </w:r>
      <w:r w:rsidR="00E86C0F" w:rsidRPr="003712D3">
        <w:rPr>
          <w:rFonts w:ascii="Times New Roman" w:hAnsi="Times New Roman"/>
          <w:kern w:val="36"/>
          <w:sz w:val="28"/>
          <w:szCs w:val="28"/>
        </w:rPr>
        <w:t>г.</w:t>
      </w:r>
      <w:r w:rsidRPr="003712D3">
        <w:rPr>
          <w:rFonts w:ascii="Times New Roman" w:hAnsi="Times New Roman"/>
          <w:kern w:val="36"/>
          <w:sz w:val="28"/>
          <w:szCs w:val="28"/>
        </w:rPr>
        <w:fldChar w:fldCharType="end"/>
      </w:r>
    </w:p>
    <w:tbl>
      <w:tblPr>
        <w:tblpPr w:leftFromText="180" w:rightFromText="180" w:vertAnchor="text" w:tblpY="1"/>
        <w:tblOverlap w:val="never"/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2694"/>
      </w:tblGrid>
      <w:tr w:rsidR="0011281E" w:rsidRPr="008A3190" w:rsidTr="007413C3">
        <w:trPr>
          <w:trHeight w:val="255"/>
        </w:trPr>
        <w:tc>
          <w:tcPr>
            <w:tcW w:w="6816" w:type="dxa"/>
            <w:vMerge w:val="restart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Н</w:t>
            </w:r>
            <w:r w:rsidRPr="008A3190">
              <w:rPr>
                <w:rFonts w:ascii="Cambria" w:hAnsi="Cambria" w:cs="Arial"/>
                <w:b/>
                <w:bCs/>
                <w:sz w:val="20"/>
                <w:szCs w:val="20"/>
              </w:rPr>
              <w:t>аименование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поступления средств и расходов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11281E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1281E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Сумма в руб.</w:t>
            </w:r>
          </w:p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vMerge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11281E" w:rsidRPr="008A3190" w:rsidTr="007413C3">
        <w:trPr>
          <w:trHeight w:val="330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Планируемое поступление</w:t>
            </w:r>
            <w:r w:rsidRPr="008A3190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средств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8A3190">
              <w:rPr>
                <w:rFonts w:ascii="Cambria" w:hAnsi="Cambria" w:cs="Arial"/>
                <w:i/>
                <w:iCs/>
                <w:sz w:val="20"/>
                <w:szCs w:val="20"/>
              </w:rPr>
              <w:t>вступительные взносы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(4*30 000)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120</w:t>
            </w:r>
            <w:r w:rsidRPr="008A3190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8A3190">
              <w:rPr>
                <w:rFonts w:ascii="Cambria" w:hAnsi="Cambria" w:cs="Arial"/>
                <w:i/>
                <w:iCs/>
                <w:sz w:val="20"/>
                <w:szCs w:val="20"/>
              </w:rPr>
              <w:t>членские взносы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8 091 000</w:t>
            </w:r>
            <w:r w:rsidRPr="008A3190">
              <w:rPr>
                <w:rFonts w:ascii="Cambria" w:hAnsi="Cambria" w:cs="Arial"/>
                <w:i/>
                <w:iCs/>
                <w:sz w:val="20"/>
                <w:szCs w:val="20"/>
              </w:rPr>
              <w:t>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Прочие (проценты банка)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2 500,00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Неиспользованный остаток средств на начало года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1 390 051,31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9 603 551,31</w:t>
            </w:r>
          </w:p>
        </w:tc>
      </w:tr>
      <w:tr w:rsidR="0011281E" w:rsidRPr="008A3190" w:rsidTr="007413C3">
        <w:trPr>
          <w:trHeight w:val="330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Планируемое использование</w:t>
            </w:r>
            <w:r w:rsidRPr="008A3190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средств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Расходы, связанные с оплатой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3 103 675,08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Налоги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 связанные с оплатой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913 206,60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Налоги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 не связанные с оплатой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Бухгалтерские услуги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210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 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</w:t>
            </w:r>
            <w:r w:rsidRPr="008A3190">
              <w:rPr>
                <w:rFonts w:ascii="Cambria" w:hAnsi="Cambria" w:cs="Arial"/>
                <w:sz w:val="20"/>
                <w:szCs w:val="20"/>
              </w:rPr>
              <w:t>лужебные командировки</w:t>
            </w:r>
            <w:proofErr w:type="gramStart"/>
            <w:r w:rsidRPr="008A319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командировки по решению Правления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300 000,00</w:t>
            </w:r>
          </w:p>
        </w:tc>
      </w:tr>
      <w:tr w:rsidR="0011281E" w:rsidRPr="008A3190" w:rsidTr="007413C3">
        <w:trPr>
          <w:trHeight w:val="52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         200 000,00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Обслуживание автомобиля (с учетом ГСМ)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108 000,00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Обслуживание компьютерной</w:t>
            </w:r>
            <w:r>
              <w:rPr>
                <w:rFonts w:ascii="Cambria" w:hAnsi="Cambria" w:cs="Arial"/>
                <w:sz w:val="20"/>
                <w:szCs w:val="20"/>
              </w:rPr>
              <w:t xml:space="preserve"> и иной офисной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 техники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</w:t>
            </w:r>
            <w:r w:rsidRPr="008A3190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Аренда офиса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273 000,00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Охрана офиса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Расходы на перевод жилого помещения в 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180 000,00</w:t>
            </w:r>
          </w:p>
        </w:tc>
      </w:tr>
      <w:tr w:rsidR="0011281E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Оплата услуг агентства недвижимости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180 000,00</w:t>
            </w:r>
          </w:p>
        </w:tc>
      </w:tr>
      <w:tr w:rsidR="0011281E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Ремонт офиса (в т.ч. проектные работы)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2 500 000,00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Информ</w:t>
            </w:r>
            <w:r>
              <w:rPr>
                <w:rFonts w:ascii="Cambria" w:hAnsi="Cambria" w:cs="Arial"/>
                <w:sz w:val="20"/>
                <w:szCs w:val="20"/>
              </w:rPr>
              <w:t>ационные услуги (обслуживание интернет-сайта</w:t>
            </w:r>
            <w:r w:rsidRPr="008A3190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31 250</w:t>
            </w:r>
            <w:r w:rsidRPr="008A3190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>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Нотариальные расходы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3 000,00</w:t>
            </w:r>
          </w:p>
        </w:tc>
      </w:tr>
      <w:tr w:rsidR="0011281E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Оплата госпошлины и иные обязательные платежи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Реклама, работа со средствами массовой информации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Почтовые услуги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36 250,00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55 000,00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Целевые мероприятия (собрания, семинары и т.д.)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 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Аудиторские услуги (внешний аудит)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Сотовая связь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25 000,00</w:t>
            </w:r>
          </w:p>
        </w:tc>
      </w:tr>
      <w:tr w:rsidR="0011281E" w:rsidRPr="00EE7CC2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Телефонная связь (в т.ч. междугородняя)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EE7CC2" w:rsidRDefault="0011281E" w:rsidP="00CE5315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8A3190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</w:t>
            </w:r>
            <w:r w:rsidRPr="00EE7CC2">
              <w:rPr>
                <w:rFonts w:ascii="Cambria" w:hAnsi="Cambria" w:cs="Arial"/>
                <w:bCs/>
                <w:sz w:val="20"/>
                <w:szCs w:val="20"/>
              </w:rPr>
              <w:t>45 000,00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Интернет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EE7CC2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z w:val="20"/>
                <w:szCs w:val="20"/>
              </w:rPr>
              <w:t>Лицензионные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п</w:t>
            </w:r>
            <w:r w:rsidRPr="008A3190">
              <w:rPr>
                <w:rFonts w:ascii="Cambria" w:hAnsi="Cambria" w:cs="Arial"/>
                <w:sz w:val="20"/>
                <w:szCs w:val="20"/>
              </w:rPr>
              <w:t>рограм</w:t>
            </w:r>
            <w:r>
              <w:rPr>
                <w:rFonts w:ascii="Cambria" w:hAnsi="Cambria" w:cs="Arial"/>
                <w:sz w:val="20"/>
                <w:szCs w:val="20"/>
              </w:rPr>
              <w:t>мно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е </w:t>
            </w:r>
            <w:r>
              <w:rPr>
                <w:rFonts w:ascii="Cambria" w:hAnsi="Cambria" w:cs="Arial"/>
                <w:sz w:val="20"/>
                <w:szCs w:val="20"/>
              </w:rPr>
              <w:t>обеспечение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EE7CC2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EE7CC2">
              <w:rPr>
                <w:rFonts w:ascii="Cambria" w:hAnsi="Cambria" w:cs="Arial"/>
                <w:bCs/>
                <w:sz w:val="20"/>
                <w:szCs w:val="20"/>
              </w:rPr>
              <w:t>20 000,00 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 xml:space="preserve">Приобретение служебного автомобиля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00,0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 xml:space="preserve">Разработка Стандартов </w:t>
            </w:r>
            <w:proofErr w:type="spellStart"/>
            <w:r w:rsidRPr="008A3190">
              <w:rPr>
                <w:rFonts w:ascii="Cambria" w:hAnsi="Cambria" w:cs="Arial"/>
                <w:sz w:val="20"/>
                <w:szCs w:val="20"/>
              </w:rPr>
              <w:t>НПСРпроект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и иных документов (продуктов)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Судебные расходы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>00,0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Резервный фонд</w:t>
            </w:r>
            <w:r>
              <w:rPr>
                <w:rFonts w:ascii="Cambria" w:hAnsi="Cambria" w:cs="Arial"/>
                <w:sz w:val="20"/>
                <w:szCs w:val="20"/>
              </w:rPr>
              <w:t xml:space="preserve"> Директора (используется по решению</w:t>
            </w:r>
            <w:r w:rsidRPr="008A3190">
              <w:rPr>
                <w:rFonts w:ascii="Cambria" w:hAnsi="Cambria" w:cs="Arial"/>
                <w:sz w:val="20"/>
                <w:szCs w:val="20"/>
              </w:rPr>
              <w:t xml:space="preserve"> Директора)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200 000,00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 xml:space="preserve">Резервный фонд </w:t>
            </w:r>
            <w:r>
              <w:rPr>
                <w:rFonts w:ascii="Cambria" w:hAnsi="Cambria" w:cs="Arial"/>
                <w:sz w:val="20"/>
                <w:szCs w:val="20"/>
              </w:rPr>
              <w:t xml:space="preserve">Правления (используется по решению </w:t>
            </w:r>
            <w:r w:rsidRPr="008A3190">
              <w:rPr>
                <w:rFonts w:ascii="Cambria" w:hAnsi="Cambria" w:cs="Arial"/>
                <w:sz w:val="20"/>
                <w:szCs w:val="20"/>
              </w:rPr>
              <w:t>Правления)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400 000,00</w:t>
            </w:r>
            <w:r w:rsidRPr="008A3190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Взносы в НОП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495 000,00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 xml:space="preserve">Прочие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</w:t>
            </w:r>
          </w:p>
        </w:tc>
      </w:tr>
      <w:tr w:rsidR="0011281E" w:rsidRPr="008A3190" w:rsidTr="007413C3">
        <w:trPr>
          <w:trHeight w:val="255"/>
        </w:trPr>
        <w:tc>
          <w:tcPr>
            <w:tcW w:w="6816" w:type="dxa"/>
            <w:shd w:val="clear" w:color="auto" w:fill="auto"/>
            <w:vAlign w:val="center"/>
            <w:hideMark/>
          </w:tcPr>
          <w:p w:rsidR="0011281E" w:rsidRPr="008A3190" w:rsidRDefault="0011281E" w:rsidP="00CE531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A3190">
              <w:rPr>
                <w:rFonts w:ascii="Cambria" w:hAnsi="Cambria" w:cs="Arial"/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1281E" w:rsidRPr="008A3190" w:rsidRDefault="0011281E" w:rsidP="00CE5315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7413C3" w:rsidRPr="008A3190" w:rsidTr="00787D50">
        <w:trPr>
          <w:trHeight w:val="255"/>
        </w:trPr>
        <w:tc>
          <w:tcPr>
            <w:tcW w:w="6816" w:type="dxa"/>
            <w:shd w:val="clear" w:color="auto" w:fill="auto"/>
            <w:noWrap/>
            <w:vAlign w:val="bottom"/>
            <w:hideMark/>
          </w:tcPr>
          <w:p w:rsidR="007413C3" w:rsidRPr="008A3190" w:rsidRDefault="007413C3" w:rsidP="00CE5315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413C3" w:rsidRPr="008A3190" w:rsidRDefault="007413C3" w:rsidP="00CE5315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10 163 381,68</w:t>
            </w:r>
          </w:p>
        </w:tc>
      </w:tr>
    </w:tbl>
    <w:p w:rsidR="00803A57" w:rsidRDefault="00803A57"/>
    <w:sectPr w:rsidR="00803A57" w:rsidSect="0074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81E"/>
    <w:rsid w:val="0011281E"/>
    <w:rsid w:val="002F60CF"/>
    <w:rsid w:val="00566B72"/>
    <w:rsid w:val="007413C3"/>
    <w:rsid w:val="00803A57"/>
    <w:rsid w:val="00E8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>НПСР Проект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2014-07-09T04:38:00Z</dcterms:created>
  <dcterms:modified xsi:type="dcterms:W3CDTF">2014-07-17T03:16:00Z</dcterms:modified>
</cp:coreProperties>
</file>